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8884DE" w14:textId="11FF965C" w:rsidR="00726160" w:rsidRPr="00726160" w:rsidRDefault="00726160" w:rsidP="00726160">
      <w:pPr>
        <w:spacing w:before="100" w:beforeAutospacing="1" w:after="100" w:afterAutospacing="1" w:line="240" w:lineRule="auto"/>
        <w:textAlignment w:val="center"/>
        <w:outlineLvl w:val="0"/>
        <w:rPr>
          <w:rFonts w:ascii="Lato Black" w:eastAsia="Times New Roman" w:hAnsi="Lato Black" w:cs="Times New Roman"/>
          <w:color w:val="FFFFFF"/>
          <w:kern w:val="36"/>
          <w14:ligatures w14:val="none"/>
        </w:rPr>
      </w:pPr>
    </w:p>
    <w:tbl>
      <w:tblPr>
        <w:tblW w:w="5000" w:type="pct"/>
        <w:tblCellMar>
          <w:left w:w="0" w:type="dxa"/>
          <w:right w:w="0" w:type="dxa"/>
        </w:tblCellMar>
        <w:tblLook w:val="04A0" w:firstRow="1" w:lastRow="0" w:firstColumn="1" w:lastColumn="0" w:noHBand="0" w:noVBand="1"/>
      </w:tblPr>
      <w:tblGrid>
        <w:gridCol w:w="5610"/>
        <w:gridCol w:w="3750"/>
      </w:tblGrid>
      <w:tr w:rsidR="00726160" w:rsidRPr="00726160" w14:paraId="19A6E6B6" w14:textId="77777777">
        <w:tc>
          <w:tcPr>
            <w:tcW w:w="0" w:type="auto"/>
            <w:hideMark/>
          </w:tcPr>
          <w:p w14:paraId="645E3447" w14:textId="77777777" w:rsidR="00726160" w:rsidRPr="00726160" w:rsidRDefault="00726160" w:rsidP="00726160">
            <w:pPr>
              <w:spacing w:after="0" w:line="240" w:lineRule="auto"/>
              <w:textAlignment w:val="baseline"/>
              <w:outlineLvl w:val="1"/>
              <w:rPr>
                <w:rFonts w:ascii="Lato Black" w:eastAsia="Times New Roman" w:hAnsi="Lato Black" w:cs="Times New Roman"/>
                <w:kern w:val="0"/>
                <w14:ligatures w14:val="none"/>
              </w:rPr>
            </w:pPr>
            <w:r w:rsidRPr="00726160">
              <w:rPr>
                <w:rFonts w:ascii="Lato Black" w:eastAsia="Times New Roman" w:hAnsi="Lato Black" w:cs="Times New Roman"/>
                <w:kern w:val="0"/>
                <w14:ligatures w14:val="none"/>
              </w:rPr>
              <w:t>Policy 5030: Student Wellness</w:t>
            </w:r>
          </w:p>
        </w:tc>
        <w:tc>
          <w:tcPr>
            <w:tcW w:w="3750" w:type="dxa"/>
            <w:hideMark/>
          </w:tcPr>
          <w:p w14:paraId="0D087CC2" w14:textId="77777777" w:rsidR="00726160" w:rsidRPr="00726160" w:rsidRDefault="00726160" w:rsidP="00726160">
            <w:pPr>
              <w:spacing w:after="0" w:line="240" w:lineRule="auto"/>
              <w:rPr>
                <w:rFonts w:ascii="Times New Roman" w:eastAsia="Times New Roman" w:hAnsi="Times New Roman" w:cs="Times New Roman"/>
                <w:kern w:val="0"/>
                <w14:ligatures w14:val="none"/>
              </w:rPr>
            </w:pPr>
            <w:r w:rsidRPr="00726160">
              <w:rPr>
                <w:rFonts w:ascii="Lato Black" w:eastAsia="Times New Roman" w:hAnsi="Lato Black" w:cs="Times New Roman"/>
                <w:kern w:val="0"/>
                <w:bdr w:val="none" w:sz="0" w:space="0" w:color="auto" w:frame="1"/>
                <w14:ligatures w14:val="none"/>
              </w:rPr>
              <w:t>Status: </w:t>
            </w:r>
            <w:r w:rsidRPr="00726160">
              <w:rPr>
                <w:rFonts w:ascii="Times New Roman" w:eastAsia="Times New Roman" w:hAnsi="Times New Roman" w:cs="Times New Roman"/>
                <w:kern w:val="0"/>
                <w14:ligatures w14:val="none"/>
              </w:rPr>
              <w:t>ADOPTED</w:t>
            </w:r>
          </w:p>
        </w:tc>
      </w:tr>
      <w:tr w:rsidR="00726160" w:rsidRPr="00726160" w14:paraId="3824BD88" w14:textId="77777777">
        <w:tc>
          <w:tcPr>
            <w:tcW w:w="0" w:type="auto"/>
            <w:hideMark/>
          </w:tcPr>
          <w:p w14:paraId="32ED8B7E" w14:textId="77777777" w:rsidR="00726160" w:rsidRPr="00726160" w:rsidRDefault="00726160" w:rsidP="00726160">
            <w:pPr>
              <w:spacing w:after="0" w:line="240" w:lineRule="auto"/>
              <w:rPr>
                <w:rFonts w:ascii="Times New Roman" w:eastAsia="Times New Roman" w:hAnsi="Times New Roman" w:cs="Times New Roman"/>
                <w:kern w:val="0"/>
                <w14:ligatures w14:val="none"/>
              </w:rPr>
            </w:pPr>
            <w:r w:rsidRPr="00726160">
              <w:rPr>
                <w:rFonts w:ascii="Lato Bold" w:eastAsia="Times New Roman" w:hAnsi="Lato Bold" w:cs="Times New Roman"/>
                <w:b/>
                <w:bCs/>
                <w:kern w:val="0"/>
                <w:bdr w:val="none" w:sz="0" w:space="0" w:color="auto" w:frame="1"/>
                <w14:ligatures w14:val="none"/>
              </w:rPr>
              <w:t>Original Adopted Date:</w:t>
            </w:r>
            <w:r w:rsidRPr="00726160">
              <w:rPr>
                <w:rFonts w:ascii="Times New Roman" w:eastAsia="Times New Roman" w:hAnsi="Times New Roman" w:cs="Times New Roman"/>
                <w:kern w:val="0"/>
                <w:bdr w:val="none" w:sz="0" w:space="0" w:color="auto" w:frame="1"/>
                <w14:ligatures w14:val="none"/>
              </w:rPr>
              <w:t> 11/14/2023 </w:t>
            </w:r>
            <w:r w:rsidRPr="00726160">
              <w:rPr>
                <w:rFonts w:ascii="Lato Bold" w:eastAsia="Times New Roman" w:hAnsi="Lato Bold" w:cs="Times New Roman"/>
                <w:b/>
                <w:bCs/>
                <w:kern w:val="0"/>
                <w:bdr w:val="none" w:sz="0" w:space="0" w:color="auto" w:frame="1"/>
                <w14:ligatures w14:val="none"/>
              </w:rPr>
              <w:t>| Last Reviewed Date:</w:t>
            </w:r>
            <w:r w:rsidRPr="00726160">
              <w:rPr>
                <w:rFonts w:ascii="Times New Roman" w:eastAsia="Times New Roman" w:hAnsi="Times New Roman" w:cs="Times New Roman"/>
                <w:kern w:val="0"/>
                <w:bdr w:val="none" w:sz="0" w:space="0" w:color="auto" w:frame="1"/>
                <w14:ligatures w14:val="none"/>
              </w:rPr>
              <w:t> 11/14/2023</w:t>
            </w:r>
          </w:p>
        </w:tc>
        <w:tc>
          <w:tcPr>
            <w:tcW w:w="0" w:type="auto"/>
            <w:hideMark/>
          </w:tcPr>
          <w:p w14:paraId="5E0D1D2A" w14:textId="77777777" w:rsidR="00726160" w:rsidRPr="00726160" w:rsidRDefault="00726160" w:rsidP="00726160">
            <w:pPr>
              <w:spacing w:after="0" w:line="240" w:lineRule="auto"/>
              <w:rPr>
                <w:rFonts w:ascii="Times New Roman" w:eastAsia="Times New Roman" w:hAnsi="Times New Roman" w:cs="Times New Roman"/>
                <w:kern w:val="0"/>
                <w14:ligatures w14:val="none"/>
              </w:rPr>
            </w:pPr>
          </w:p>
        </w:tc>
      </w:tr>
    </w:tbl>
    <w:p w14:paraId="7487EC1C"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Board of Trustees recognizes the link between student health and learning and desires to provide a comprehensive program promoting healthy eating and physical activity for district students. The Superintendent/Principal or designee shall coordinate and align district efforts to support student wellness through health education, physical education and activity, health services, nutrition services, psychological and counseling services, and a safe and healthy school environment. In addition, the Superintendent/Principal or designee shall develop strategies for promoting staff wellness and for involving parents/guardians and the community in reinforcing students' understanding and appreciation of the importance of a healthy lifestyle.</w:t>
      </w:r>
    </w:p>
    <w:p w14:paraId="1D79E8FB"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Bold" w:eastAsia="Times New Roman" w:hAnsi="Lato Bold" w:cs="Times New Roman"/>
          <w:b/>
          <w:bCs/>
          <w:color w:val="000000"/>
          <w:kern w:val="0"/>
          <w:sz w:val="23"/>
          <w:szCs w:val="23"/>
          <w:bdr w:val="none" w:sz="0" w:space="0" w:color="auto" w:frame="1"/>
          <w14:ligatures w14:val="none"/>
        </w:rPr>
        <w:t>School Wellness Council</w:t>
      </w:r>
    </w:p>
    <w:p w14:paraId="68EBB3EE"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or designee shall encourage parents/guardians, students, food service employees, physical education teachers, school health professionals, Board members, school administrators, and members of the public to participate in the development, implementation, and periodic review and update of the district's student wellness policy. (42 USC</w:t>
      </w:r>
      <w:r w:rsidRPr="00726160">
        <w:rPr>
          <w:rFonts w:ascii="Lato" w:eastAsia="Times New Roman" w:hAnsi="Lato" w:cs="Times New Roman"/>
          <w:color w:val="000000"/>
          <w:kern w:val="0"/>
          <w:sz w:val="23"/>
          <w:szCs w:val="23"/>
          <w:bdr w:val="none" w:sz="0" w:space="0" w:color="auto" w:frame="1"/>
          <w14:ligatures w14:val="none"/>
        </w:rPr>
        <w:t> 1758b</w:t>
      </w:r>
      <w:r w:rsidRPr="00726160">
        <w:rPr>
          <w:rFonts w:ascii="Lato" w:eastAsia="Times New Roman" w:hAnsi="Lato" w:cs="Times New Roman"/>
          <w:color w:val="000000"/>
          <w:kern w:val="0"/>
          <w:sz w:val="23"/>
          <w:szCs w:val="23"/>
          <w14:ligatures w14:val="none"/>
        </w:rPr>
        <w:t>; 7 CFR</w:t>
      </w:r>
      <w:r w:rsidRPr="00726160">
        <w:rPr>
          <w:rFonts w:ascii="Lato" w:eastAsia="Times New Roman" w:hAnsi="Lato" w:cs="Times New Roman"/>
          <w:color w:val="000000"/>
          <w:kern w:val="0"/>
          <w:sz w:val="23"/>
          <w:szCs w:val="23"/>
          <w:bdr w:val="none" w:sz="0" w:space="0" w:color="auto" w:frame="1"/>
          <w14:ligatures w14:val="none"/>
        </w:rPr>
        <w:t> 210.30</w:t>
      </w:r>
      <w:r w:rsidRPr="00726160">
        <w:rPr>
          <w:rFonts w:ascii="Lato" w:eastAsia="Times New Roman" w:hAnsi="Lato" w:cs="Times New Roman"/>
          <w:color w:val="000000"/>
          <w:kern w:val="0"/>
          <w:sz w:val="23"/>
          <w:szCs w:val="23"/>
          <w14:ligatures w14:val="none"/>
        </w:rPr>
        <w:t>)</w:t>
      </w:r>
    </w:p>
    <w:p w14:paraId="3562ADFE"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To fulfill this requirement, the Superintendent/Principal or designee may appoint a school wellness council or other district committee and a wellness council coordinator. The council may include representatives of the groups listed above, as well as health educators, curriculum directors, counselors, before- and after-school program staff, health practitioners, and/or others interested in school health issues.</w:t>
      </w:r>
    </w:p>
    <w:p w14:paraId="25B9BEC5"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or designee may make available to the public and school community a list of the names, position titles, and contact information of the wellness council members.</w:t>
      </w:r>
    </w:p>
    <w:p w14:paraId="61D848B5"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wellness council shall advise the district on health-related issues, activities, policies, and programs. At the discretion of the Superintendent/Principal or designee, the duties of the council may also include the planning, implementation, and evaluation of activities to promote health within the school or community.</w:t>
      </w:r>
    </w:p>
    <w:p w14:paraId="416A29FC"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Bold" w:eastAsia="Times New Roman" w:hAnsi="Lato Bold" w:cs="Times New Roman"/>
          <w:b/>
          <w:bCs/>
          <w:color w:val="000000"/>
          <w:kern w:val="0"/>
          <w:sz w:val="23"/>
          <w:szCs w:val="23"/>
          <w:bdr w:val="none" w:sz="0" w:space="0" w:color="auto" w:frame="1"/>
          <w14:ligatures w14:val="none"/>
        </w:rPr>
        <w:t>Goals for Nutrition, Physical Activity, and Other Wellness Activities</w:t>
      </w:r>
    </w:p>
    <w:p w14:paraId="20D98769"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Board shall adopt specific goals for nutrition promotion and education, physical activity, and other school-based activities that promote student wellness. In developing such goals, the Board shall review and consider evidence-based strategies and techniques. (42 USC</w:t>
      </w:r>
      <w:r w:rsidRPr="00726160">
        <w:rPr>
          <w:rFonts w:ascii="Lato" w:eastAsia="Times New Roman" w:hAnsi="Lato" w:cs="Times New Roman"/>
          <w:color w:val="000000"/>
          <w:kern w:val="0"/>
          <w:sz w:val="23"/>
          <w:szCs w:val="23"/>
          <w:bdr w:val="none" w:sz="0" w:space="0" w:color="auto" w:frame="1"/>
          <w14:ligatures w14:val="none"/>
        </w:rPr>
        <w:t> 1758b</w:t>
      </w:r>
      <w:r w:rsidRPr="00726160">
        <w:rPr>
          <w:rFonts w:ascii="Lato" w:eastAsia="Times New Roman" w:hAnsi="Lato" w:cs="Times New Roman"/>
          <w:color w:val="000000"/>
          <w:kern w:val="0"/>
          <w:sz w:val="23"/>
          <w:szCs w:val="23"/>
          <w14:ligatures w14:val="none"/>
        </w:rPr>
        <w:t>; 7 CFR</w:t>
      </w:r>
      <w:r w:rsidRPr="00726160">
        <w:rPr>
          <w:rFonts w:ascii="Lato" w:eastAsia="Times New Roman" w:hAnsi="Lato" w:cs="Times New Roman"/>
          <w:color w:val="000000"/>
          <w:kern w:val="0"/>
          <w:sz w:val="23"/>
          <w:szCs w:val="23"/>
          <w:bdr w:val="none" w:sz="0" w:space="0" w:color="auto" w:frame="1"/>
          <w14:ligatures w14:val="none"/>
        </w:rPr>
        <w:t> 210.30</w:t>
      </w:r>
      <w:r w:rsidRPr="00726160">
        <w:rPr>
          <w:rFonts w:ascii="Lato" w:eastAsia="Times New Roman" w:hAnsi="Lato" w:cs="Times New Roman"/>
          <w:color w:val="000000"/>
          <w:kern w:val="0"/>
          <w:sz w:val="23"/>
          <w:szCs w:val="23"/>
          <w14:ligatures w14:val="none"/>
        </w:rPr>
        <w:t>)</w:t>
      </w:r>
    </w:p>
    <w:p w14:paraId="542C78F9"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 xml:space="preserve">The district's nutrition education and physical education programs shall be based on research, shall be consistent with the expectations established in the state's curriculum </w:t>
      </w:r>
      <w:r w:rsidRPr="00726160">
        <w:rPr>
          <w:rFonts w:ascii="Lato" w:eastAsia="Times New Roman" w:hAnsi="Lato" w:cs="Times New Roman"/>
          <w:color w:val="000000"/>
          <w:kern w:val="0"/>
          <w:sz w:val="23"/>
          <w:szCs w:val="23"/>
          <w14:ligatures w14:val="none"/>
        </w:rPr>
        <w:lastRenderedPageBreak/>
        <w:t>frameworks and content standards, and shall be designed to build the skills and knowledge that all students need to maintain a healthy lifestyle.</w:t>
      </w:r>
    </w:p>
    <w:p w14:paraId="4929BA47"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nutrition education program shall include, but is not limited to, information about the benefits of healthy eating for learning, disease prevention, weight management, and oral health. Nutrition education shall be provided as part of the health education program and, as appropriate, shall be integrated into other academic subjects in the regular educational program, before- and after-school programs, summer learning programs, and school garden programs.</w:t>
      </w:r>
    </w:p>
    <w:p w14:paraId="60DC1D1E"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All students shall be provided opportunities to be physically active on a regular basis. Opportunities for moderate to vigorous physical activity shall be provided through physical education and recess and may also be provided through school athletic programs, extracurricular programs, before- and after-school programs, summer learning programs, programs encouraging students to walk or bicycle to and from school, in-class physical activity breaks, and other structured and unstructured activities.</w:t>
      </w:r>
    </w:p>
    <w:p w14:paraId="7755F43E"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Board may enter into a joint use agreement or memorandum of understanding to make district facilities or grounds available for recreational or sports activities outside the school day and/or to use community facilities to expand students' access to opportunity for physical activity.</w:t>
      </w:r>
    </w:p>
    <w:p w14:paraId="3787E164"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Professional development may be regularly offered to the nutrition program director, managers, and staff, as well as health education teachers, physical education teachers, coaches, activity supervisors, and other staff as appropriate to enhance their knowledge and skills related to student health and wellness.</w:t>
      </w:r>
    </w:p>
    <w:p w14:paraId="72DE7E56"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In order to ensure that students have access to comprehensive health services, the district may provide access to health services at or near the school and/or may provide referrals to community resources.</w:t>
      </w:r>
    </w:p>
    <w:p w14:paraId="5CA18E3E"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Board recognizes that a safe, positive school environment is also conducive to students' physical and mental health and thus prohibits bullying and harassment of all students, including bullying on the basis of weight or health condition.</w:t>
      </w:r>
    </w:p>
    <w:p w14:paraId="3CDADB08"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or designee shall encourage staff to serve as positive role models for healthy eating and physical fitness. He/she shall promote work-site wellness programs and may provide opportunities for regular physical activity among employees.</w:t>
      </w:r>
    </w:p>
    <w:p w14:paraId="33119B12"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Bold" w:eastAsia="Times New Roman" w:hAnsi="Lato Bold" w:cs="Times New Roman"/>
          <w:b/>
          <w:bCs/>
          <w:color w:val="000000"/>
          <w:kern w:val="0"/>
          <w:sz w:val="23"/>
          <w:szCs w:val="23"/>
          <w:bdr w:val="none" w:sz="0" w:space="0" w:color="auto" w:frame="1"/>
          <w14:ligatures w14:val="none"/>
        </w:rPr>
        <w:t>Nutrition Guidelines for All Foods Available at School</w:t>
      </w:r>
    </w:p>
    <w:p w14:paraId="4576E139"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For all foods and beverages available on each campus during the school day, the district shall adopt nutrition guidelines which are consistent with 42 USC 1758,</w:t>
      </w:r>
      <w:r w:rsidRPr="00726160">
        <w:rPr>
          <w:rFonts w:ascii="Lato" w:eastAsia="Times New Roman" w:hAnsi="Lato" w:cs="Times New Roman"/>
          <w:color w:val="000000"/>
          <w:kern w:val="0"/>
          <w:sz w:val="23"/>
          <w:szCs w:val="23"/>
          <w:bdr w:val="none" w:sz="0" w:space="0" w:color="auto" w:frame="1"/>
          <w14:ligatures w14:val="none"/>
        </w:rPr>
        <w:t> 1766</w:t>
      </w:r>
      <w:r w:rsidRPr="00726160">
        <w:rPr>
          <w:rFonts w:ascii="Lato" w:eastAsia="Times New Roman" w:hAnsi="Lato" w:cs="Times New Roman"/>
          <w:color w:val="000000"/>
          <w:kern w:val="0"/>
          <w:sz w:val="23"/>
          <w:szCs w:val="23"/>
          <w14:ligatures w14:val="none"/>
        </w:rPr>
        <w:t>,</w:t>
      </w:r>
      <w:r w:rsidRPr="00726160">
        <w:rPr>
          <w:rFonts w:ascii="Lato" w:eastAsia="Times New Roman" w:hAnsi="Lato" w:cs="Times New Roman"/>
          <w:color w:val="000000"/>
          <w:kern w:val="0"/>
          <w:sz w:val="23"/>
          <w:szCs w:val="23"/>
          <w:bdr w:val="none" w:sz="0" w:space="0" w:color="auto" w:frame="1"/>
          <w14:ligatures w14:val="none"/>
        </w:rPr>
        <w:t> 1773</w:t>
      </w:r>
      <w:r w:rsidRPr="00726160">
        <w:rPr>
          <w:rFonts w:ascii="Lato" w:eastAsia="Times New Roman" w:hAnsi="Lato" w:cs="Times New Roman"/>
          <w:color w:val="000000"/>
          <w:kern w:val="0"/>
          <w:sz w:val="23"/>
          <w:szCs w:val="23"/>
          <w14:ligatures w14:val="none"/>
        </w:rPr>
        <w:t>, and</w:t>
      </w:r>
      <w:r w:rsidRPr="00726160">
        <w:rPr>
          <w:rFonts w:ascii="Lato" w:eastAsia="Times New Roman" w:hAnsi="Lato" w:cs="Times New Roman"/>
          <w:color w:val="000000"/>
          <w:kern w:val="0"/>
          <w:sz w:val="23"/>
          <w:szCs w:val="23"/>
          <w:bdr w:val="none" w:sz="0" w:space="0" w:color="auto" w:frame="1"/>
          <w14:ligatures w14:val="none"/>
        </w:rPr>
        <w:t> 1779 </w:t>
      </w:r>
      <w:r w:rsidRPr="00726160">
        <w:rPr>
          <w:rFonts w:ascii="Lato" w:eastAsia="Times New Roman" w:hAnsi="Lato" w:cs="Times New Roman"/>
          <w:color w:val="000000"/>
          <w:kern w:val="0"/>
          <w:sz w:val="23"/>
          <w:szCs w:val="23"/>
          <w14:ligatures w14:val="none"/>
        </w:rPr>
        <w:t>and federal regulations and which support the objectives of promoting student health and reducing childhood obesity. (42 USC</w:t>
      </w:r>
      <w:r w:rsidRPr="00726160">
        <w:rPr>
          <w:rFonts w:ascii="Lato" w:eastAsia="Times New Roman" w:hAnsi="Lato" w:cs="Times New Roman"/>
          <w:color w:val="000000"/>
          <w:kern w:val="0"/>
          <w:sz w:val="23"/>
          <w:szCs w:val="23"/>
          <w:bdr w:val="none" w:sz="0" w:space="0" w:color="auto" w:frame="1"/>
          <w14:ligatures w14:val="none"/>
        </w:rPr>
        <w:t> 1758b</w:t>
      </w:r>
      <w:r w:rsidRPr="00726160">
        <w:rPr>
          <w:rFonts w:ascii="Lato" w:eastAsia="Times New Roman" w:hAnsi="Lato" w:cs="Times New Roman"/>
          <w:color w:val="000000"/>
          <w:kern w:val="0"/>
          <w:sz w:val="23"/>
          <w:szCs w:val="23"/>
          <w14:ligatures w14:val="none"/>
        </w:rPr>
        <w:t>)</w:t>
      </w:r>
    </w:p>
    <w:p w14:paraId="7CAB1FD2"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 xml:space="preserve">In order to maximize the district's ability to provide nutritious meals and snacks, the district school shall participate in available federal school nutrition programs, including the National School Lunch and School Breakfast Programs and after-school snack programs, to the extent </w:t>
      </w:r>
      <w:r w:rsidRPr="00726160">
        <w:rPr>
          <w:rFonts w:ascii="Lato" w:eastAsia="Times New Roman" w:hAnsi="Lato" w:cs="Times New Roman"/>
          <w:color w:val="000000"/>
          <w:kern w:val="0"/>
          <w:sz w:val="23"/>
          <w:szCs w:val="23"/>
          <w14:ligatures w14:val="none"/>
        </w:rPr>
        <w:lastRenderedPageBreak/>
        <w:t>possible. When approved by the California Department of Education, the district may sponsor a summer meal program.</w:t>
      </w:r>
    </w:p>
    <w:p w14:paraId="4BF0AC81"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 xml:space="preserve">The Superintendent/Principal or designee shall provide access to free, potable water in the food service area during </w:t>
      </w:r>
      <w:proofErr w:type="gramStart"/>
      <w:r w:rsidRPr="00726160">
        <w:rPr>
          <w:rFonts w:ascii="Lato" w:eastAsia="Times New Roman" w:hAnsi="Lato" w:cs="Times New Roman"/>
          <w:color w:val="000000"/>
          <w:kern w:val="0"/>
          <w:sz w:val="23"/>
          <w:szCs w:val="23"/>
          <w14:ligatures w14:val="none"/>
        </w:rPr>
        <w:t>meal times</w:t>
      </w:r>
      <w:proofErr w:type="gramEnd"/>
      <w:r w:rsidRPr="00726160">
        <w:rPr>
          <w:rFonts w:ascii="Lato" w:eastAsia="Times New Roman" w:hAnsi="Lato" w:cs="Times New Roman"/>
          <w:color w:val="000000"/>
          <w:kern w:val="0"/>
          <w:sz w:val="23"/>
          <w:szCs w:val="23"/>
          <w14:ligatures w14:val="none"/>
        </w:rPr>
        <w:t xml:space="preserve"> in accordance with Education Code</w:t>
      </w:r>
      <w:r w:rsidRPr="00726160">
        <w:rPr>
          <w:rFonts w:ascii="Lato" w:eastAsia="Times New Roman" w:hAnsi="Lato" w:cs="Times New Roman"/>
          <w:color w:val="000000"/>
          <w:kern w:val="0"/>
          <w:sz w:val="23"/>
          <w:szCs w:val="23"/>
          <w:bdr w:val="none" w:sz="0" w:space="0" w:color="auto" w:frame="1"/>
          <w14:ligatures w14:val="none"/>
        </w:rPr>
        <w:t> 38086 </w:t>
      </w:r>
      <w:r w:rsidRPr="00726160">
        <w:rPr>
          <w:rFonts w:ascii="Lato" w:eastAsia="Times New Roman" w:hAnsi="Lato" w:cs="Times New Roman"/>
          <w:color w:val="000000"/>
          <w:kern w:val="0"/>
          <w:sz w:val="23"/>
          <w:szCs w:val="23"/>
          <w14:ligatures w14:val="none"/>
        </w:rPr>
        <w:t>and 42 USC 1758, and shall encourage students' consumption of water by educating them about the health benefits of water and by serving water in an appealing manner.</w:t>
      </w:r>
    </w:p>
    <w:p w14:paraId="6B16BC62"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Board believes that all foods and beverages sold to students at school, including those available outside the district's reimbursable food services program, should support the health curriculum and promote optimal health. Nutrition standards adopted by the district for foods and beverages provided through student stores, vending machines, or other venues shall meet or exceed state and federal nutrition standards.</w:t>
      </w:r>
    </w:p>
    <w:p w14:paraId="6245EE8A"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or designee shall encourage school organizations to use healthy food items or non-food items for fundraising purposes.</w:t>
      </w:r>
    </w:p>
    <w:p w14:paraId="2FDD1666"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He/she also shall encourage school staff to avoid the use of non-nutritious foods as a reward for students' academic performance, accomplishments, or classroom behavior.</w:t>
      </w:r>
    </w:p>
    <w:p w14:paraId="4FB120F8"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School staff shall encourage parents/guardians or other volunteers to support the district's nutrition education program by considering nutritional quality when selecting any snacks which they may donate for occasional class parties. Class parties or celebrations shall be held after the lunch period when possible.</w:t>
      </w:r>
    </w:p>
    <w:p w14:paraId="594AA2BC"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To reinforce the district's nutrition education program, the Board prohibits the marketing and advertising of foods and beverages that do not meet nutrition standards for the sale of foods and beverages on campus during the school day. (Education Code</w:t>
      </w:r>
      <w:r w:rsidRPr="00726160">
        <w:rPr>
          <w:rFonts w:ascii="Lato" w:eastAsia="Times New Roman" w:hAnsi="Lato" w:cs="Times New Roman"/>
          <w:color w:val="000000"/>
          <w:kern w:val="0"/>
          <w:sz w:val="23"/>
          <w:szCs w:val="23"/>
          <w:bdr w:val="none" w:sz="0" w:space="0" w:color="auto" w:frame="1"/>
          <w14:ligatures w14:val="none"/>
        </w:rPr>
        <w:t> 49431.9</w:t>
      </w:r>
      <w:r w:rsidRPr="00726160">
        <w:rPr>
          <w:rFonts w:ascii="Lato" w:eastAsia="Times New Roman" w:hAnsi="Lato" w:cs="Times New Roman"/>
          <w:color w:val="000000"/>
          <w:kern w:val="0"/>
          <w:sz w:val="23"/>
          <w:szCs w:val="23"/>
          <w14:ligatures w14:val="none"/>
        </w:rPr>
        <w:t>; 7 CFR</w:t>
      </w:r>
      <w:r w:rsidRPr="00726160">
        <w:rPr>
          <w:rFonts w:ascii="Lato" w:eastAsia="Times New Roman" w:hAnsi="Lato" w:cs="Times New Roman"/>
          <w:color w:val="000000"/>
          <w:kern w:val="0"/>
          <w:sz w:val="23"/>
          <w:szCs w:val="23"/>
          <w:bdr w:val="none" w:sz="0" w:space="0" w:color="auto" w:frame="1"/>
          <w14:ligatures w14:val="none"/>
        </w:rPr>
        <w:t> 210.31</w:t>
      </w:r>
      <w:r w:rsidRPr="00726160">
        <w:rPr>
          <w:rFonts w:ascii="Lato" w:eastAsia="Times New Roman" w:hAnsi="Lato" w:cs="Times New Roman"/>
          <w:color w:val="000000"/>
          <w:kern w:val="0"/>
          <w:sz w:val="23"/>
          <w:szCs w:val="23"/>
          <w14:ligatures w14:val="none"/>
        </w:rPr>
        <w:t>)</w:t>
      </w:r>
    </w:p>
    <w:p w14:paraId="1F51DB91"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Bold" w:eastAsia="Times New Roman" w:hAnsi="Lato Bold" w:cs="Times New Roman"/>
          <w:b/>
          <w:bCs/>
          <w:color w:val="000000"/>
          <w:kern w:val="0"/>
          <w:sz w:val="23"/>
          <w:szCs w:val="23"/>
          <w:bdr w:val="none" w:sz="0" w:space="0" w:color="auto" w:frame="1"/>
          <w14:ligatures w14:val="none"/>
        </w:rPr>
        <w:t>Program Implementation and Evaluation</w:t>
      </w:r>
    </w:p>
    <w:p w14:paraId="22611847"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designates the individual(s) identified below as the individual(s) responsible for ensuring that the school complies with the district's wellness policy. (42 USC</w:t>
      </w:r>
      <w:r w:rsidRPr="00726160">
        <w:rPr>
          <w:rFonts w:ascii="Lato" w:eastAsia="Times New Roman" w:hAnsi="Lato" w:cs="Times New Roman"/>
          <w:color w:val="000000"/>
          <w:kern w:val="0"/>
          <w:sz w:val="23"/>
          <w:szCs w:val="23"/>
          <w:bdr w:val="none" w:sz="0" w:space="0" w:color="auto" w:frame="1"/>
          <w14:ligatures w14:val="none"/>
        </w:rPr>
        <w:t> 1758b</w:t>
      </w:r>
      <w:r w:rsidRPr="00726160">
        <w:rPr>
          <w:rFonts w:ascii="Lato" w:eastAsia="Times New Roman" w:hAnsi="Lato" w:cs="Times New Roman"/>
          <w:color w:val="000000"/>
          <w:kern w:val="0"/>
          <w:sz w:val="23"/>
          <w:szCs w:val="23"/>
          <w14:ligatures w14:val="none"/>
        </w:rPr>
        <w:t>; 7 CFR</w:t>
      </w:r>
      <w:r w:rsidRPr="00726160">
        <w:rPr>
          <w:rFonts w:ascii="Lato" w:eastAsia="Times New Roman" w:hAnsi="Lato" w:cs="Times New Roman"/>
          <w:color w:val="000000"/>
          <w:kern w:val="0"/>
          <w:sz w:val="23"/>
          <w:szCs w:val="23"/>
          <w:bdr w:val="none" w:sz="0" w:space="0" w:color="auto" w:frame="1"/>
          <w14:ligatures w14:val="none"/>
        </w:rPr>
        <w:t> 210.31</w:t>
      </w:r>
      <w:r w:rsidRPr="00726160">
        <w:rPr>
          <w:rFonts w:ascii="Lato" w:eastAsia="Times New Roman" w:hAnsi="Lato" w:cs="Times New Roman"/>
          <w:color w:val="000000"/>
          <w:kern w:val="0"/>
          <w:sz w:val="23"/>
          <w:szCs w:val="23"/>
          <w14:ligatures w14:val="none"/>
        </w:rPr>
        <w:t>)</w:t>
      </w:r>
    </w:p>
    <w:p w14:paraId="01ED2407" w14:textId="77777777" w:rsidR="00726160" w:rsidRPr="00726160" w:rsidRDefault="00726160" w:rsidP="00726160">
      <w:pPr>
        <w:spacing w:after="0" w:line="240" w:lineRule="auto"/>
        <w:ind w:left="600"/>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bdr w:val="none" w:sz="0" w:space="0" w:color="auto" w:frame="1"/>
          <w14:ligatures w14:val="none"/>
        </w:rPr>
        <w:t>Superintendent/Principal</w:t>
      </w:r>
      <w:r w:rsidRPr="00726160">
        <w:rPr>
          <w:rFonts w:ascii="Lato" w:eastAsia="Times New Roman" w:hAnsi="Lato" w:cs="Times New Roman"/>
          <w:color w:val="000000"/>
          <w:kern w:val="0"/>
          <w:sz w:val="23"/>
          <w:szCs w:val="23"/>
          <w14:ligatures w14:val="none"/>
        </w:rPr>
        <w:br/>
      </w:r>
      <w:r w:rsidRPr="00726160">
        <w:rPr>
          <w:rFonts w:ascii="Lato" w:eastAsia="Times New Roman" w:hAnsi="Lato" w:cs="Times New Roman"/>
          <w:color w:val="000000"/>
          <w:kern w:val="0"/>
          <w:sz w:val="23"/>
          <w:szCs w:val="23"/>
          <w:bdr w:val="none" w:sz="0" w:space="0" w:color="auto" w:frame="1"/>
          <w14:ligatures w14:val="none"/>
        </w:rPr>
        <w:t>75 Greenwood Heights Drive</w:t>
      </w:r>
      <w:r w:rsidRPr="00726160">
        <w:rPr>
          <w:rFonts w:ascii="Lato" w:eastAsia="Times New Roman" w:hAnsi="Lato" w:cs="Times New Roman"/>
          <w:color w:val="000000"/>
          <w:kern w:val="0"/>
          <w:sz w:val="23"/>
          <w:szCs w:val="23"/>
          <w14:ligatures w14:val="none"/>
        </w:rPr>
        <w:br/>
      </w:r>
      <w:r w:rsidRPr="00726160">
        <w:rPr>
          <w:rFonts w:ascii="Lato" w:eastAsia="Times New Roman" w:hAnsi="Lato" w:cs="Times New Roman"/>
          <w:color w:val="000000"/>
          <w:kern w:val="0"/>
          <w:sz w:val="23"/>
          <w:szCs w:val="23"/>
          <w:bdr w:val="none" w:sz="0" w:space="0" w:color="auto" w:frame="1"/>
          <w14:ligatures w14:val="none"/>
        </w:rPr>
        <w:t>Eureka, CA 95503</w:t>
      </w:r>
      <w:r w:rsidRPr="00726160">
        <w:rPr>
          <w:rFonts w:ascii="Lato" w:eastAsia="Times New Roman" w:hAnsi="Lato" w:cs="Times New Roman"/>
          <w:color w:val="000000"/>
          <w:kern w:val="0"/>
          <w:sz w:val="23"/>
          <w:szCs w:val="23"/>
          <w14:ligatures w14:val="none"/>
        </w:rPr>
        <w:br/>
      </w:r>
      <w:r w:rsidRPr="00726160">
        <w:rPr>
          <w:rFonts w:ascii="Lato" w:eastAsia="Times New Roman" w:hAnsi="Lato" w:cs="Times New Roman"/>
          <w:color w:val="000000"/>
          <w:kern w:val="0"/>
          <w:sz w:val="23"/>
          <w:szCs w:val="23"/>
          <w:bdr w:val="none" w:sz="0" w:space="0" w:color="auto" w:frame="1"/>
          <w14:ligatures w14:val="none"/>
        </w:rPr>
        <w:t>(707) 442-2969</w:t>
      </w:r>
      <w:r w:rsidRPr="00726160">
        <w:rPr>
          <w:rFonts w:ascii="Lato" w:eastAsia="Times New Roman" w:hAnsi="Lato" w:cs="Times New Roman"/>
          <w:color w:val="000000"/>
          <w:kern w:val="0"/>
          <w:sz w:val="23"/>
          <w:szCs w:val="23"/>
          <w14:ligatures w14:val="none"/>
        </w:rPr>
        <w:br/>
      </w:r>
      <w:hyperlink r:id="rId5" w:tgtFrame="_blank" w:history="1">
        <w:r w:rsidRPr="00726160">
          <w:rPr>
            <w:rFonts w:ascii="Lato" w:eastAsia="Times New Roman" w:hAnsi="Lato" w:cs="Times New Roman"/>
            <w:color w:val="0000FF"/>
            <w:kern w:val="0"/>
            <w:sz w:val="23"/>
            <w:szCs w:val="23"/>
            <w:u w:val="single"/>
            <w:bdr w:val="none" w:sz="0" w:space="0" w:color="auto" w:frame="1"/>
            <w14:ligatures w14:val="none"/>
          </w:rPr>
          <w:t>administration@freshwatersd.org</w:t>
        </w:r>
      </w:hyperlink>
    </w:p>
    <w:p w14:paraId="018BD7EB"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or designee shall assess the implementation and effectiveness of this policy at least once every three years. (42 USC</w:t>
      </w:r>
      <w:r w:rsidRPr="00726160">
        <w:rPr>
          <w:rFonts w:ascii="Lato" w:eastAsia="Times New Roman" w:hAnsi="Lato" w:cs="Times New Roman"/>
          <w:color w:val="000000"/>
          <w:kern w:val="0"/>
          <w:sz w:val="23"/>
          <w:szCs w:val="23"/>
          <w:bdr w:val="none" w:sz="0" w:space="0" w:color="auto" w:frame="1"/>
          <w14:ligatures w14:val="none"/>
        </w:rPr>
        <w:t> 1758b</w:t>
      </w:r>
      <w:r w:rsidRPr="00726160">
        <w:rPr>
          <w:rFonts w:ascii="Lato" w:eastAsia="Times New Roman" w:hAnsi="Lato" w:cs="Times New Roman"/>
          <w:color w:val="000000"/>
          <w:kern w:val="0"/>
          <w:sz w:val="23"/>
          <w:szCs w:val="23"/>
          <w14:ligatures w14:val="none"/>
        </w:rPr>
        <w:t>; 7 CFR</w:t>
      </w:r>
      <w:r w:rsidRPr="00726160">
        <w:rPr>
          <w:rFonts w:ascii="Lato" w:eastAsia="Times New Roman" w:hAnsi="Lato" w:cs="Times New Roman"/>
          <w:color w:val="000000"/>
          <w:kern w:val="0"/>
          <w:sz w:val="23"/>
          <w:szCs w:val="23"/>
          <w:bdr w:val="none" w:sz="0" w:space="0" w:color="auto" w:frame="1"/>
          <w14:ligatures w14:val="none"/>
        </w:rPr>
        <w:t> 210.31</w:t>
      </w:r>
      <w:r w:rsidRPr="00726160">
        <w:rPr>
          <w:rFonts w:ascii="Lato" w:eastAsia="Times New Roman" w:hAnsi="Lato" w:cs="Times New Roman"/>
          <w:color w:val="000000"/>
          <w:kern w:val="0"/>
          <w:sz w:val="23"/>
          <w:szCs w:val="23"/>
          <w14:ligatures w14:val="none"/>
        </w:rPr>
        <w:t>)</w:t>
      </w:r>
    </w:p>
    <w:p w14:paraId="6CE70EC3"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assessment shall include the extent to which district schools are in compliance with this policy, the extent to which this policy compares to model wellness policies available from the U.S. Department of Agriculture, and a description of the progress made in attaining the goals of the wellness policy. (42 USC</w:t>
      </w:r>
      <w:r w:rsidRPr="00726160">
        <w:rPr>
          <w:rFonts w:ascii="Lato" w:eastAsia="Times New Roman" w:hAnsi="Lato" w:cs="Times New Roman"/>
          <w:color w:val="000000"/>
          <w:kern w:val="0"/>
          <w:sz w:val="23"/>
          <w:szCs w:val="23"/>
          <w:bdr w:val="none" w:sz="0" w:space="0" w:color="auto" w:frame="1"/>
          <w14:ligatures w14:val="none"/>
        </w:rPr>
        <w:t> 1758b</w:t>
      </w:r>
      <w:r w:rsidRPr="00726160">
        <w:rPr>
          <w:rFonts w:ascii="Lato" w:eastAsia="Times New Roman" w:hAnsi="Lato" w:cs="Times New Roman"/>
          <w:color w:val="000000"/>
          <w:kern w:val="0"/>
          <w:sz w:val="23"/>
          <w:szCs w:val="23"/>
          <w14:ligatures w14:val="none"/>
        </w:rPr>
        <w:t>)</w:t>
      </w:r>
    </w:p>
    <w:p w14:paraId="772E4F1C"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 xml:space="preserve">The Superintendent/Principal or designee shall invite feedback on district and school wellness activities from food service personnel, school administrators, the wellness council, </w:t>
      </w:r>
      <w:r w:rsidRPr="00726160">
        <w:rPr>
          <w:rFonts w:ascii="Lato" w:eastAsia="Times New Roman" w:hAnsi="Lato" w:cs="Times New Roman"/>
          <w:color w:val="000000"/>
          <w:kern w:val="0"/>
          <w:sz w:val="23"/>
          <w:szCs w:val="23"/>
          <w14:ligatures w14:val="none"/>
        </w:rPr>
        <w:lastRenderedPageBreak/>
        <w:t>parents/guardians, students, teachers, before- and after-school program staff, and/or other appropriate persons.</w:t>
      </w:r>
    </w:p>
    <w:p w14:paraId="469DD0FE"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Board and the Superintendent/Principal or designee shall establish indicators that will be used to measure the implementation and effectiveness of the district activities related to student wellness. Such indicators may include, but are not limited to:</w:t>
      </w:r>
    </w:p>
    <w:p w14:paraId="2F6788CD"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Descriptions of the district's nutrition education, physical education, and health education curricula and the extent to which they align with state academic content standards and legal requirements</w:t>
      </w:r>
      <w:r w:rsidRPr="00726160">
        <w:rPr>
          <w:rFonts w:ascii="Lato" w:eastAsia="Times New Roman" w:hAnsi="Lato" w:cs="Times New Roman"/>
          <w:color w:val="000000"/>
          <w:kern w:val="0"/>
          <w:sz w:val="23"/>
          <w:szCs w:val="23"/>
          <w14:ligatures w14:val="none"/>
        </w:rPr>
        <w:br/>
        <w:t> </w:t>
      </w:r>
    </w:p>
    <w:p w14:paraId="31F7E2DC"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An analysis of the nutritional content of school meals and snacks served in all district programs, based on a sample of menus and production records</w:t>
      </w:r>
      <w:r w:rsidRPr="00726160">
        <w:rPr>
          <w:rFonts w:ascii="Lato" w:eastAsia="Times New Roman" w:hAnsi="Lato" w:cs="Times New Roman"/>
          <w:color w:val="000000"/>
          <w:kern w:val="0"/>
          <w:sz w:val="23"/>
          <w:szCs w:val="23"/>
          <w14:ligatures w14:val="none"/>
        </w:rPr>
        <w:br/>
        <w:t> </w:t>
      </w:r>
    </w:p>
    <w:p w14:paraId="0DC6E937"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Student participation rates in all school meal and/or snack programs, including the number of students enrolled in the free and reduced-price meals program compared to the number of students eligible for that program</w:t>
      </w:r>
      <w:r w:rsidRPr="00726160">
        <w:rPr>
          <w:rFonts w:ascii="Lato" w:eastAsia="Times New Roman" w:hAnsi="Lato" w:cs="Times New Roman"/>
          <w:color w:val="000000"/>
          <w:kern w:val="0"/>
          <w:sz w:val="23"/>
          <w:szCs w:val="23"/>
          <w14:ligatures w14:val="none"/>
        </w:rPr>
        <w:br/>
        <w:t> </w:t>
      </w:r>
    </w:p>
    <w:p w14:paraId="22EDADE9"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Extent to which foods and beverages sold on campus outside the food services program, such as through vending machines, student stores, or fundraisers, comply with nutrition standards</w:t>
      </w:r>
      <w:r w:rsidRPr="00726160">
        <w:rPr>
          <w:rFonts w:ascii="Lato" w:eastAsia="Times New Roman" w:hAnsi="Lato" w:cs="Times New Roman"/>
          <w:color w:val="000000"/>
          <w:kern w:val="0"/>
          <w:sz w:val="23"/>
          <w:szCs w:val="23"/>
          <w14:ligatures w14:val="none"/>
        </w:rPr>
        <w:br/>
        <w:t> </w:t>
      </w:r>
    </w:p>
    <w:p w14:paraId="13358FB3"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Extent to which other foods and beverages that are available on campus during the school day, such as foods and beverages for classroom parties, school celebrations, and rewards/incentives, comply with nutrition standards</w:t>
      </w:r>
      <w:r w:rsidRPr="00726160">
        <w:rPr>
          <w:rFonts w:ascii="Lato" w:eastAsia="Times New Roman" w:hAnsi="Lato" w:cs="Times New Roman"/>
          <w:color w:val="000000"/>
          <w:kern w:val="0"/>
          <w:sz w:val="23"/>
          <w:szCs w:val="23"/>
          <w14:ligatures w14:val="none"/>
        </w:rPr>
        <w:br/>
        <w:t> </w:t>
      </w:r>
    </w:p>
    <w:p w14:paraId="08D68785"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Results of the state's physical fitness test at applicable grade levels</w:t>
      </w:r>
      <w:r w:rsidRPr="00726160">
        <w:rPr>
          <w:rFonts w:ascii="Lato" w:eastAsia="Times New Roman" w:hAnsi="Lato" w:cs="Times New Roman"/>
          <w:color w:val="000000"/>
          <w:kern w:val="0"/>
          <w:sz w:val="23"/>
          <w:szCs w:val="23"/>
          <w14:ligatures w14:val="none"/>
        </w:rPr>
        <w:br/>
        <w:t> </w:t>
      </w:r>
    </w:p>
    <w:p w14:paraId="2919A35A"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Number of minutes of physical education offered at each grade span, and the estimated percentage of class time spent in moderate to vigorous physical activity</w:t>
      </w:r>
      <w:r w:rsidRPr="00726160">
        <w:rPr>
          <w:rFonts w:ascii="Lato" w:eastAsia="Times New Roman" w:hAnsi="Lato" w:cs="Times New Roman"/>
          <w:color w:val="000000"/>
          <w:kern w:val="0"/>
          <w:sz w:val="23"/>
          <w:szCs w:val="23"/>
          <w14:ligatures w14:val="none"/>
        </w:rPr>
        <w:br/>
        <w:t> </w:t>
      </w:r>
    </w:p>
    <w:p w14:paraId="579C89B6"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A description of district efforts to provide additional opportunities for physical activity outside of the physical education program</w:t>
      </w:r>
      <w:r w:rsidRPr="00726160">
        <w:rPr>
          <w:rFonts w:ascii="Lato" w:eastAsia="Times New Roman" w:hAnsi="Lato" w:cs="Times New Roman"/>
          <w:color w:val="000000"/>
          <w:kern w:val="0"/>
          <w:sz w:val="23"/>
          <w:szCs w:val="23"/>
          <w14:ligatures w14:val="none"/>
        </w:rPr>
        <w:br/>
        <w:t> </w:t>
      </w:r>
    </w:p>
    <w:p w14:paraId="2B5BF90A" w14:textId="77777777" w:rsidR="00726160" w:rsidRPr="00726160" w:rsidRDefault="00726160" w:rsidP="00726160">
      <w:pPr>
        <w:numPr>
          <w:ilvl w:val="0"/>
          <w:numId w:val="1"/>
        </w:numPr>
        <w:spacing w:before="100" w:beforeAutospacing="1" w:after="100" w:afterAutospacing="1" w:line="300" w:lineRule="atLeast"/>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A description of other wellness activities offered, including the number of students participating, as appropriate</w:t>
      </w:r>
    </w:p>
    <w:p w14:paraId="026DBA05"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As feasible, the assessment report may include a comparison of results across multiple years, a comparison of district data with county, statewide, or national data, and/or a comparison of wellness data with other student outcomes such as academic indicators or student discipline rates.</w:t>
      </w:r>
    </w:p>
    <w:p w14:paraId="46860CEF"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lastRenderedPageBreak/>
        <w:t>In addition, the Superintendent/Principal or designee shall prepare and maintain the proper documentation and records needed for the administrative review of the district's wellness policy conducted by the California Department of Education (CDE) every three years.</w:t>
      </w:r>
    </w:p>
    <w:p w14:paraId="1FAB12BB"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assessment results of both the district and state evaluations shall be submitted to the Board for the purposes of evaluating policy and practice, recognizing accomplishments, and making policy adjustments as needed to focus district resources and efforts on actions that are most likely to make a positive impact on student health and achievement.</w:t>
      </w:r>
    </w:p>
    <w:p w14:paraId="00FA5B9E"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Bold" w:eastAsia="Times New Roman" w:hAnsi="Lato Bold" w:cs="Times New Roman"/>
          <w:b/>
          <w:bCs/>
          <w:color w:val="000000"/>
          <w:kern w:val="0"/>
          <w:sz w:val="23"/>
          <w:szCs w:val="23"/>
          <w:bdr w:val="none" w:sz="0" w:space="0" w:color="auto" w:frame="1"/>
          <w14:ligatures w14:val="none"/>
        </w:rPr>
        <w:t>Notifications</w:t>
      </w:r>
    </w:p>
    <w:p w14:paraId="1F995B0C"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or designee shall inform the public about the content and implementation of the district's wellness policy and shall make the policy, and any updates to the policy, available the public on an annual basis. He/she shall also inform the public of the district's progress towards meeting the goals of the wellness policy, including the availability of the triennial district assessment. (Education Code</w:t>
      </w:r>
      <w:r w:rsidRPr="00726160">
        <w:rPr>
          <w:rFonts w:ascii="Lato" w:eastAsia="Times New Roman" w:hAnsi="Lato" w:cs="Times New Roman"/>
          <w:color w:val="000000"/>
          <w:kern w:val="0"/>
          <w:sz w:val="23"/>
          <w:szCs w:val="23"/>
          <w:bdr w:val="none" w:sz="0" w:space="0" w:color="auto" w:frame="1"/>
          <w14:ligatures w14:val="none"/>
        </w:rPr>
        <w:t> 49432</w:t>
      </w:r>
      <w:r w:rsidRPr="00726160">
        <w:rPr>
          <w:rFonts w:ascii="Lato" w:eastAsia="Times New Roman" w:hAnsi="Lato" w:cs="Times New Roman"/>
          <w:color w:val="000000"/>
          <w:kern w:val="0"/>
          <w:sz w:val="23"/>
          <w:szCs w:val="23"/>
          <w14:ligatures w14:val="none"/>
        </w:rPr>
        <w:t>; 42 USC</w:t>
      </w:r>
      <w:r w:rsidRPr="00726160">
        <w:rPr>
          <w:rFonts w:ascii="Lato" w:eastAsia="Times New Roman" w:hAnsi="Lato" w:cs="Times New Roman"/>
          <w:color w:val="000000"/>
          <w:kern w:val="0"/>
          <w:sz w:val="23"/>
          <w:szCs w:val="23"/>
          <w:bdr w:val="none" w:sz="0" w:space="0" w:color="auto" w:frame="1"/>
          <w14:ligatures w14:val="none"/>
        </w:rPr>
        <w:t> 1758b</w:t>
      </w:r>
      <w:r w:rsidRPr="00726160">
        <w:rPr>
          <w:rFonts w:ascii="Lato" w:eastAsia="Times New Roman" w:hAnsi="Lato" w:cs="Times New Roman"/>
          <w:color w:val="000000"/>
          <w:kern w:val="0"/>
          <w:sz w:val="23"/>
          <w:szCs w:val="23"/>
          <w14:ligatures w14:val="none"/>
        </w:rPr>
        <w:t>; 7 CFR</w:t>
      </w:r>
      <w:r w:rsidRPr="00726160">
        <w:rPr>
          <w:rFonts w:ascii="Lato" w:eastAsia="Times New Roman" w:hAnsi="Lato" w:cs="Times New Roman"/>
          <w:color w:val="000000"/>
          <w:kern w:val="0"/>
          <w:sz w:val="23"/>
          <w:szCs w:val="23"/>
          <w:bdr w:val="none" w:sz="0" w:space="0" w:color="auto" w:frame="1"/>
          <w14:ligatures w14:val="none"/>
        </w:rPr>
        <w:t> 210.31</w:t>
      </w:r>
      <w:r w:rsidRPr="00726160">
        <w:rPr>
          <w:rFonts w:ascii="Lato" w:eastAsia="Times New Roman" w:hAnsi="Lato" w:cs="Times New Roman"/>
          <w:color w:val="000000"/>
          <w:kern w:val="0"/>
          <w:sz w:val="23"/>
          <w:szCs w:val="23"/>
          <w14:ligatures w14:val="none"/>
        </w:rPr>
        <w:t>)</w:t>
      </w:r>
    </w:p>
    <w:p w14:paraId="59469A00" w14:textId="77777777" w:rsidR="00726160" w:rsidRPr="00726160" w:rsidRDefault="00726160" w:rsidP="00726160">
      <w:pPr>
        <w:spacing w:before="240" w:after="24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or designee shall distribute this information through the most effective methods of communication, including district or school newsletters, handouts, parent/guardian meetings, district and school web sites, and other communications. Outreach to parents/guardians shall emphasize the relationship between student health and wellness and academic performance.</w:t>
      </w:r>
    </w:p>
    <w:p w14:paraId="048ED1A6"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Bold" w:eastAsia="Times New Roman" w:hAnsi="Lato Bold" w:cs="Times New Roman"/>
          <w:b/>
          <w:bCs/>
          <w:color w:val="000000"/>
          <w:kern w:val="0"/>
          <w:sz w:val="23"/>
          <w:szCs w:val="23"/>
          <w:bdr w:val="none" w:sz="0" w:space="0" w:color="auto" w:frame="1"/>
          <w14:ligatures w14:val="none"/>
        </w:rPr>
        <w:t>Records</w:t>
      </w:r>
    </w:p>
    <w:p w14:paraId="760D8ECA" w14:textId="77777777" w:rsidR="00726160" w:rsidRPr="00726160" w:rsidRDefault="00726160" w:rsidP="00726160">
      <w:pPr>
        <w:spacing w:after="0" w:line="240" w:lineRule="auto"/>
        <w:textAlignment w:val="baseline"/>
        <w:rPr>
          <w:rFonts w:ascii="Lato" w:eastAsia="Times New Roman" w:hAnsi="Lato" w:cs="Times New Roman"/>
          <w:color w:val="000000"/>
          <w:kern w:val="0"/>
          <w:sz w:val="23"/>
          <w:szCs w:val="23"/>
          <w14:ligatures w14:val="none"/>
        </w:rPr>
      </w:pPr>
      <w:r w:rsidRPr="00726160">
        <w:rPr>
          <w:rFonts w:ascii="Lato" w:eastAsia="Times New Roman" w:hAnsi="Lato" w:cs="Times New Roman"/>
          <w:color w:val="000000"/>
          <w:kern w:val="0"/>
          <w:sz w:val="23"/>
          <w:szCs w:val="23"/>
          <w14:ligatures w14:val="none"/>
        </w:rPr>
        <w:t>The Superintendent/Principal or designee shall retain records that document compliance with 7 CFR</w:t>
      </w:r>
      <w:r w:rsidRPr="00726160">
        <w:rPr>
          <w:rFonts w:ascii="Lato" w:eastAsia="Times New Roman" w:hAnsi="Lato" w:cs="Times New Roman"/>
          <w:color w:val="000000"/>
          <w:kern w:val="0"/>
          <w:sz w:val="23"/>
          <w:szCs w:val="23"/>
          <w:bdr w:val="none" w:sz="0" w:space="0" w:color="auto" w:frame="1"/>
          <w14:ligatures w14:val="none"/>
        </w:rPr>
        <w:t> 210.31</w:t>
      </w:r>
      <w:r w:rsidRPr="00726160">
        <w:rPr>
          <w:rFonts w:ascii="Lato" w:eastAsia="Times New Roman" w:hAnsi="Lato" w:cs="Times New Roman"/>
          <w:color w:val="000000"/>
          <w:kern w:val="0"/>
          <w:sz w:val="23"/>
          <w:szCs w:val="23"/>
          <w14:ligatures w14:val="none"/>
        </w:rPr>
        <w:t>, including, but not limited to, the written student wellness policy, documentation of the triennial assessment of the wellness policy, and documentation demonstrating compliance with the community involvement requirements, including requirements to make the policy and assessment results available to the public. (7 CFR</w:t>
      </w:r>
      <w:r w:rsidRPr="00726160">
        <w:rPr>
          <w:rFonts w:ascii="Lato" w:eastAsia="Times New Roman" w:hAnsi="Lato" w:cs="Times New Roman"/>
          <w:color w:val="000000"/>
          <w:kern w:val="0"/>
          <w:sz w:val="23"/>
          <w:szCs w:val="23"/>
          <w:bdr w:val="none" w:sz="0" w:space="0" w:color="auto" w:frame="1"/>
          <w14:ligatures w14:val="none"/>
        </w:rPr>
        <w:t> 210.31)</w:t>
      </w:r>
    </w:p>
    <w:p w14:paraId="53C0E6E2" w14:textId="77777777" w:rsidR="00726160" w:rsidRDefault="00726160"/>
    <w:sectPr w:rsidR="00726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Lato Black">
    <w:panose1 w:val="020F0502020204030203"/>
    <w:charset w:val="00"/>
    <w:family w:val="swiss"/>
    <w:pitch w:val="variable"/>
    <w:sig w:usb0="E10002FF" w:usb1="5000ECFF" w:usb2="00000021" w:usb3="00000000" w:csb0="0000019F" w:csb1="00000000"/>
  </w:font>
  <w:font w:name="Lato Bold">
    <w:altName w:val="Lato"/>
    <w:panose1 w:val="020B0604020202020204"/>
    <w:charset w:val="00"/>
    <w:family w:val="roman"/>
    <w:notTrueType/>
    <w:pitch w:val="default"/>
  </w:font>
  <w:font w:name="Lato">
    <w:panose1 w:val="020B0604020202020204"/>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DE667E"/>
    <w:multiLevelType w:val="multilevel"/>
    <w:tmpl w:val="8FB47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59255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160"/>
    <w:rsid w:val="004320A3"/>
    <w:rsid w:val="00684C25"/>
    <w:rsid w:val="00726160"/>
    <w:rsid w:val="00D12668"/>
    <w:rsid w:val="00F83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EDBE86"/>
  <w15:chartTrackingRefBased/>
  <w15:docId w15:val="{9B72D2CF-0D74-904F-B08B-9DEE0543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1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61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1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1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1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1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1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1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1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1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61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1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1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1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1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1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1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160"/>
    <w:rPr>
      <w:rFonts w:eastAsiaTheme="majorEastAsia" w:cstheme="majorBidi"/>
      <w:color w:val="272727" w:themeColor="text1" w:themeTint="D8"/>
    </w:rPr>
  </w:style>
  <w:style w:type="paragraph" w:styleId="Title">
    <w:name w:val="Title"/>
    <w:basedOn w:val="Normal"/>
    <w:next w:val="Normal"/>
    <w:link w:val="TitleChar"/>
    <w:uiPriority w:val="10"/>
    <w:qFormat/>
    <w:rsid w:val="007261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1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1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1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160"/>
    <w:pPr>
      <w:spacing w:before="160"/>
      <w:jc w:val="center"/>
    </w:pPr>
    <w:rPr>
      <w:i/>
      <w:iCs/>
      <w:color w:val="404040" w:themeColor="text1" w:themeTint="BF"/>
    </w:rPr>
  </w:style>
  <w:style w:type="character" w:customStyle="1" w:styleId="QuoteChar">
    <w:name w:val="Quote Char"/>
    <w:basedOn w:val="DefaultParagraphFont"/>
    <w:link w:val="Quote"/>
    <w:uiPriority w:val="29"/>
    <w:rsid w:val="00726160"/>
    <w:rPr>
      <w:i/>
      <w:iCs/>
      <w:color w:val="404040" w:themeColor="text1" w:themeTint="BF"/>
    </w:rPr>
  </w:style>
  <w:style w:type="paragraph" w:styleId="ListParagraph">
    <w:name w:val="List Paragraph"/>
    <w:basedOn w:val="Normal"/>
    <w:uiPriority w:val="34"/>
    <w:qFormat/>
    <w:rsid w:val="00726160"/>
    <w:pPr>
      <w:ind w:left="720"/>
      <w:contextualSpacing/>
    </w:pPr>
  </w:style>
  <w:style w:type="character" w:styleId="IntenseEmphasis">
    <w:name w:val="Intense Emphasis"/>
    <w:basedOn w:val="DefaultParagraphFont"/>
    <w:uiPriority w:val="21"/>
    <w:qFormat/>
    <w:rsid w:val="00726160"/>
    <w:rPr>
      <w:i/>
      <w:iCs/>
      <w:color w:val="0F4761" w:themeColor="accent1" w:themeShade="BF"/>
    </w:rPr>
  </w:style>
  <w:style w:type="paragraph" w:styleId="IntenseQuote">
    <w:name w:val="Intense Quote"/>
    <w:basedOn w:val="Normal"/>
    <w:next w:val="Normal"/>
    <w:link w:val="IntenseQuoteChar"/>
    <w:uiPriority w:val="30"/>
    <w:qFormat/>
    <w:rsid w:val="007261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160"/>
    <w:rPr>
      <w:i/>
      <w:iCs/>
      <w:color w:val="0F4761" w:themeColor="accent1" w:themeShade="BF"/>
    </w:rPr>
  </w:style>
  <w:style w:type="character" w:styleId="IntenseReference">
    <w:name w:val="Intense Reference"/>
    <w:basedOn w:val="DefaultParagraphFont"/>
    <w:uiPriority w:val="32"/>
    <w:qFormat/>
    <w:rsid w:val="00726160"/>
    <w:rPr>
      <w:b/>
      <w:bCs/>
      <w:smallCaps/>
      <w:color w:val="0F4761" w:themeColor="accent1" w:themeShade="BF"/>
      <w:spacing w:val="5"/>
    </w:rPr>
  </w:style>
  <w:style w:type="character" w:styleId="Hyperlink">
    <w:name w:val="Hyperlink"/>
    <w:basedOn w:val="DefaultParagraphFont"/>
    <w:uiPriority w:val="99"/>
    <w:semiHidden/>
    <w:unhideWhenUsed/>
    <w:rsid w:val="00726160"/>
    <w:rPr>
      <w:color w:val="0000FF"/>
      <w:u w:val="single"/>
    </w:rPr>
  </w:style>
  <w:style w:type="paragraph" w:styleId="NormalWeb">
    <w:name w:val="Normal (Web)"/>
    <w:basedOn w:val="Normal"/>
    <w:uiPriority w:val="99"/>
    <w:semiHidden/>
    <w:unhideWhenUsed/>
    <w:rsid w:val="0072616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istration@freshwater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1902</Words>
  <Characters>10844</Characters>
  <Application>Microsoft Office Word</Application>
  <DocSecurity>0</DocSecurity>
  <Lines>90</Lines>
  <Paragraphs>25</Paragraphs>
  <ScaleCrop>false</ScaleCrop>
  <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Talty</dc:creator>
  <cp:keywords/>
  <dc:description/>
  <cp:lastModifiedBy>Si Talty</cp:lastModifiedBy>
  <cp:revision>2</cp:revision>
  <dcterms:created xsi:type="dcterms:W3CDTF">2026-10-13T15:06:00Z</dcterms:created>
  <dcterms:modified xsi:type="dcterms:W3CDTF">2026-10-13T15:06:00Z</dcterms:modified>
</cp:coreProperties>
</file>